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# TriSeadon Fleet Program: Full Report Outline (v2)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Front Matter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Cover Page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Classification / Distribution Statement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Document Control and Revision History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Table of Contents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List of Figures and Tables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Acronyms and Definitions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I - Executive Overview and Strategic Decision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Purpose of the Report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Strategic Problem Statement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TriSeadon Program Thesis (Fleet + Industry + Workforce as one system)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Decision Points Requested of Congress / DoD / Navy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Executive Summary of Cost, Schedule, and Strategic Outcomes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II - Strategic Context and Threat Environment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Maritime Security Environment (peer conflict, A2/AD, missile density, undersea threats)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Campaign Endurance and Attrition Reality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Industrial Competition as a Warfighting Variable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Implications for U.S. Surface Fleet Design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III - Current Fleet and Industrial Model Gaps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Legacy Surface Fleet Capability Gaps (frigate, cruiser command depth, DDG strain)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Platform-Centric Integration Risk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Single-Yard and Single-Vendor Fragility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Episodic Modernization and Readiness Cliffs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Workforce Fragmentation and Training Burden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Baseline Comparison (status quo trajectory through 2050)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IV - TriSeadon Fleet Architecture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System-of-Systems Design Philosophy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Class Roles and Domain Primacy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Common Core and Shared Interface Standards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SNCD (Shared Networked Combat Doctrine)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Force Multiplication Mechanics at Fleet Scale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Interoperability with Joint and Allied Forces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V - Warfighting Concept and Operational Employment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Distributed Task Group Design (CAG/DDG/FFG combinations)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Integration with CSGs, ESGs, and SAGs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Distributed Maritime Operations / Distributed Lethality fit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High-End Conflict Vignettes (e.g., Pacific, chokepoints, Arctic)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Crisis Response and Humanitarian Operations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Resilience Under Attrition and Degraded Network Conditions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VI - Ship Class Technical Framework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FFG Concept of Operations and Baseline Configuration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DDG Concept of Operations and Baseline Configuration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CAG Concept of Operations and Baseline Configuration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Hull, Power, and Propulsion Commonality (including Odyssey transition logic)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Survivability, Signature Management, and Damage Control Philosophy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Aviation and Unmanned Systems Integration by Class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VII - Modular Combat Architecture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LCB, IWM, and IMM Design Rules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ISO Mission Module Standards and Swap Constraints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Government-Owned Interface Control and Certification Regime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Integration Testing and Safety Qualification Pipeline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Upgrade-by-Replacement Lifecycle Model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VIII - Weapons, Sensors, and Mission Systems Roadmap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Baseline Weapons Architecture (guns, VLS, hypersonic options, CIWS/DEW)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Sensor and Combat System Baseline (SPY, EW, C2, data links)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Energy and Power Architecture (AEGIR/PRIME and growth margins)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Technology Insertion Discipline (max three major new technologies per flight)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Fallback and Pivot Paths for Immature Systems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Specialty Concepts (e.g., Iron Swarm) as experimental annex candidates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IX - Industrial Base Architecture and Yard Network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Three-Layer Yard Model (GOGO, GOCO, COCO)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Capital Yards and Regional Yard Roles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Legacy Yard Modernization and Role Retention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Module Yard Network (IWM/IMM/ISO production)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DLA Integration Yards (North/South/East/West)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Brownfield Reclamation, Environmental Compliance, and Permitting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 - Workforce, Training, and National Participation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Workforce Demand Model by Phase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Yard-Integrated Training Centers and Certification Portability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Veteran and Community College Pipelines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Labor Mobility Between Yard Types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50-State Participation Model (functional, non-duplicative)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Labor Risk Mitigation and Retention Incentives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XI - Logistics, Supply Chain, and DLA as Broker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DLA Central Procurement and Strategic Inventory Doctrine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Four-Depot / Multi-Depot Distribution Model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Long-Lead Material and Component Risk Controls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Vendor Competition Framework and Pricing Transparency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Wartime Surge and Continuity-of-Supply Planning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XII - Program Phasing, Build Plan, and Retrofit Cadence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Frigate-First Sequencing Logic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Block Strategy by Class (Block I-V concept)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Annual Build Tempo and Lane Expansion Timeline (2026-2050)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Five-Year Refit Cycles and Throughput Requirements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Conversion Triggers from Legacy Programs (DDG-51, FFG-62 context)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Milestone Gates, Exit Criteria, and Off-Ramps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XIII - Financial Architecture and Cost Analysis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Cost Methodology and Assumptions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Unit Procurement Bands by Class (ROM ranges)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Lifecycle Cost Structure and O&amp;S Profile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Comparative Analysis: TriSeadon vs Legacy Fleet Path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Industrial Capital Envelope vs SCN Procurement Line Separation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Federal/State/Private Financing Structure (loans, leases, ROI)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 Affordability Stress Tests and Sensitivity Analysis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XIV - Governance, Contracting, and Oversight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Program Governance Model (Navy, OSD, DLA, interagency)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Contract Structure and No-Change-After-Steel-Cut Rule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Performance Scorecards for Yard Operators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Auditability, Data Rights, and Open Interface Enforcement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Congressional Reporting Framework and Decision Calendar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XV - Risk Register and Mitigation Strategy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Technical Risks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Industrial and Workforce Risks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Supply Chain and Commodity Risks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Political / Budgetary Risks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Schedule Compression Risks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Operational Risks During Fleet Transition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 Mitigation Matrix with Owners and Triggers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XVI - Strategic Outcomes and Measures of Effectiveness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Warfighting Outcomes (sea control, air defense, ASW persistence)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Industrial Outcomes (throughput, resilience, redundancy)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Economic Outcomes (jobs, regional impact, lease returns)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Readiness Outcomes (availability, modernization tempo)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National Security Outcomes Through 2050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Section XVII - Recommendations and Authorization Package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Legislative Actions Requested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Budget Actions Requested (FYDP + multi-year authority)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Acquisition Actions Requested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Near-Term 24-Month Action Plan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Decision Memorandum Summary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## Appendices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A. Master Build and Refit Timeline Tables (year-by-year)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B. Detailed Class Data Sheets (FFG, DDG, CAG)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C. Module Catalog (IWM/IMM/ISO) and Interface Specs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D. Technology Readiness and Flight Insertion Map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E. Yard Site Profiles and Capacity Plans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F. Workforce Pipeline and Curriculum Framework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G. Cost Workbooks and Assumption Traceability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H. Doctrine Integration Scenarios (CSG/ESG/SAG/DMO)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I. Environmental and Site Remediation Plans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J. Glossary and Acronym Index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